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5E8AF" w14:textId="4F3880E8" w:rsidR="004C132D" w:rsidRDefault="004C132D" w:rsidP="004C132D">
      <w:pPr>
        <w:jc w:val="both"/>
        <w:rPr>
          <w:rFonts w:ascii="Segoe UI" w:hAnsi="Segoe UI" w:cs="Segoe UI"/>
          <w:sz w:val="21"/>
          <w:szCs w:val="21"/>
          <w:shd w:val="clear" w:color="auto" w:fill="FFFFFF"/>
        </w:rPr>
      </w:pPr>
      <w:r>
        <w:rPr>
          <w:rFonts w:ascii="Segoe UI" w:hAnsi="Segoe UI" w:cs="Segoe UI"/>
          <w:sz w:val="21"/>
          <w:szCs w:val="21"/>
          <w:shd w:val="clear" w:color="auto" w:fill="FFFFFF"/>
        </w:rPr>
        <w:t>A Procuradoria-Geral da Fazenda Nacional (PGFN) vai intensificar o procedimento administrativo prévio à distribuição da execução fiscal de encaminhar certidões de dívida ativa para a averbação na base de registro de automóveis – Registro Nacional de Veículos Automotores (</w:t>
      </w:r>
      <w:r>
        <w:rPr>
          <w:rFonts w:ascii="Segoe UI" w:hAnsi="Segoe UI" w:cs="Segoe UI"/>
          <w:sz w:val="21"/>
          <w:szCs w:val="21"/>
          <w:shd w:val="clear" w:color="auto" w:fill="FFFFFF"/>
        </w:rPr>
        <w:t>RENAVAM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) – como 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uma </w:t>
      </w:r>
      <w:r>
        <w:rPr>
          <w:rFonts w:ascii="Segoe UI" w:hAnsi="Segoe UI" w:cs="Segoe UI"/>
          <w:sz w:val="21"/>
          <w:szCs w:val="21"/>
          <w:shd w:val="clear" w:color="auto" w:fill="FFFFFF"/>
        </w:rPr>
        <w:t>forma de evitar a transmissão fraudulenta de bens e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de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reforçar a transparência da dívida ativa.</w:t>
      </w:r>
    </w:p>
    <w:p w14:paraId="013F3210" w14:textId="2AA2BD54" w:rsidR="004C132D" w:rsidRPr="004C132D" w:rsidRDefault="004C132D" w:rsidP="004C132D">
      <w:pPr>
        <w:jc w:val="both"/>
      </w:pP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O procedimento foi autorizado pelo </w:t>
      </w:r>
      <w:r>
        <w:rPr>
          <w:rFonts w:ascii="Segoe UI" w:hAnsi="Segoe UI" w:cs="Segoe UI"/>
          <w:sz w:val="21"/>
          <w:szCs w:val="21"/>
          <w:shd w:val="clear" w:color="auto" w:fill="FFFFFF"/>
        </w:rPr>
        <w:t>A</w:t>
      </w:r>
      <w:r>
        <w:rPr>
          <w:rFonts w:ascii="Segoe UI" w:hAnsi="Segoe UI" w:cs="Segoe UI"/>
          <w:sz w:val="21"/>
          <w:szCs w:val="21"/>
          <w:shd w:val="clear" w:color="auto" w:fill="FFFFFF"/>
        </w:rPr>
        <w:t>rt</w:t>
      </w:r>
      <w:r>
        <w:rPr>
          <w:rFonts w:ascii="Segoe UI" w:hAnsi="Segoe UI" w:cs="Segoe UI"/>
          <w:sz w:val="21"/>
          <w:szCs w:val="21"/>
          <w:shd w:val="clear" w:color="auto" w:fill="FFFFFF"/>
        </w:rPr>
        <w:t>igo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20-B, §3º, inc</w:t>
      </w:r>
      <w:r>
        <w:rPr>
          <w:rFonts w:ascii="Segoe UI" w:hAnsi="Segoe UI" w:cs="Segoe UI"/>
          <w:sz w:val="21"/>
          <w:szCs w:val="21"/>
          <w:shd w:val="clear" w:color="auto" w:fill="FFFFFF"/>
        </w:rPr>
        <w:t>iso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II, da Lei nº 10.522/2002, que determin</w:t>
      </w:r>
      <w:r>
        <w:rPr>
          <w:rFonts w:ascii="Segoe UI" w:hAnsi="Segoe UI" w:cs="Segoe UI"/>
          <w:sz w:val="21"/>
          <w:szCs w:val="21"/>
          <w:shd w:val="clear" w:color="auto" w:fill="FFFFFF"/>
        </w:rPr>
        <w:t>a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que podem ser averbadas nos órgãos de registro de bens e direitos sujeitos a arresto ou penhora, servindo de garantia para futura execução fiscal.</w:t>
      </w:r>
    </w:p>
    <w:sectPr w:rsidR="004C132D" w:rsidRPr="004C132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32D"/>
    <w:rsid w:val="004C132D"/>
    <w:rsid w:val="00AC1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1CEE1"/>
  <w15:chartTrackingRefBased/>
  <w15:docId w15:val="{D8BB38CA-A1DA-499D-9A4E-5D2640D05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Tubino</dc:creator>
  <cp:keywords/>
  <dc:description/>
  <cp:lastModifiedBy>Claudio Tubino</cp:lastModifiedBy>
  <cp:revision>1</cp:revision>
  <dcterms:created xsi:type="dcterms:W3CDTF">2022-08-01T02:34:00Z</dcterms:created>
  <dcterms:modified xsi:type="dcterms:W3CDTF">2022-08-01T02:40:00Z</dcterms:modified>
</cp:coreProperties>
</file>